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6" w:rsidRDefault="00833A26" w:rsidP="00833A26">
      <w:pPr>
        <w:jc w:val="center"/>
        <w:rPr>
          <w:rFonts w:ascii="Sylfaen" w:hAnsi="Sylfaen"/>
          <w:noProof/>
          <w:sz w:val="12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ჟინვალჰესის ჰიდრო-ტექნიკური ნაგებობების მონიტორინგი, ადრეული გაფრთხილების სისტემის ტექნიკური ინსპექტირება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5"/>
        <w:gridCol w:w="1825"/>
        <w:gridCol w:w="1250"/>
        <w:gridCol w:w="1432"/>
        <w:gridCol w:w="5609"/>
        <w:gridCol w:w="2155"/>
      </w:tblGrid>
      <w:tr w:rsidR="00B901F5" w:rsidTr="00B901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rFonts w:ascii="AcadNusx" w:hAnsi="AcadNusx" w:cs="Arial"/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AcadNusx" w:hAnsi="AcadNusx" w:cs="Arial"/>
                <w:b/>
                <w:noProof/>
                <w:sz w:val="20"/>
                <w:szCs w:val="20"/>
                <w:lang w:val="ka-GE"/>
              </w:rPr>
              <w:t>etapis #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AcadNusx" w:hAnsi="AcadNusx" w:cs="Arial"/>
                <w:b/>
                <w:noProof/>
                <w:sz w:val="20"/>
                <w:szCs w:val="20"/>
                <w:lang w:val="ka-GE"/>
              </w:rPr>
              <w:t>dakvirvebis obieqtebi / nagebobebi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rFonts w:ascii="LitNusx" w:hAnsi="LitNusx"/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LitNusx" w:hAnsi="LitNusx"/>
                <w:b/>
                <w:noProof/>
                <w:sz w:val="20"/>
                <w:szCs w:val="20"/>
                <w:lang w:val="ka-GE"/>
              </w:rPr>
              <w:t>wylis donis maCvenebeli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>samuSaoebis Catarebis periodi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AcadNusx" w:hAnsi="AcadNusx" w:cs="Arial"/>
                <w:b/>
                <w:noProof/>
                <w:sz w:val="20"/>
                <w:szCs w:val="20"/>
                <w:lang w:val="ka-GE"/>
              </w:rPr>
              <w:t>Casatarebeli samuSaoebis dasaxeleba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ღირებულება</w:t>
            </w:r>
            <w:r w:rsidRPr="00B901F5">
              <w:rPr>
                <w:rFonts w:ascii="AcadNusx" w:hAnsi="AcadNusx" w:cs="Arial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B901F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ლარი</w:t>
            </w:r>
          </w:p>
        </w:tc>
      </w:tr>
      <w:tr w:rsidR="00B901F5" w:rsidTr="00B901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LitNusx" w:hAnsi="LitNusx"/>
                <w:noProof/>
                <w:sz w:val="20"/>
                <w:szCs w:val="20"/>
                <w:lang w:val="ka-GE"/>
              </w:rPr>
              <w:t>6</w:t>
            </w:r>
          </w:p>
        </w:tc>
      </w:tr>
      <w:tr w:rsidR="00B901F5" w:rsidTr="00715B15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kaSxali, siRrmuli wyalmimRebi da wyalsagdebi, uqmi wyalsagdebi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uqmi wyalsagdebi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w</w:t>
            </w: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yalsacavi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gamyvani gvirabi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wwd 770m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01.01.202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-30.04.202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გეოდინამიური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dakvirvebebis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a-GE"/>
              </w:rPr>
              <w:t>DSM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-is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ა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 klinometrebis Sedegebis damuSaveba kaSxlis Txemis horizontalur da vertikalur gadaadgilebebze wyalsacavis Sevseba-damuSavebis procesSi sxvadasxva niSnulebze (10 cikli)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siRrmuli wyalmimRebis, wyalsagdebis da uqmi wyalsagdebis nagebobebis vertikalur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 xml:space="preserve"> და ჰორიზონტალურ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gadaadgilebebze 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გეოდინამიური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ები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(klinometrebis meSveobiT)  Sedegebis damuSaveba wyalsacavis sxvadasaxva niSnulebze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geodeziuri dakvrivebebi - hidronagebobaTa (kaSxali, siRrmuli da zedapiruli wyalsagdebebi, wyalmimRebi) vertikaluri gadaadgilebebis (jdenebis) gansazRvra; kaSxlis da da zedapiruli wyalsagdebis Txemis horizontaluri gadaadgilebis dadgena (1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kaSxlis tanSi filtraciul reJimze axali piezometruli qselis da xarjmzomis meSveobiT (12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kaSxlis fuZeSi qimiuri sufoziis movlenebis gamokvleva (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წლის განმავლობაში 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>4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zedapirul wyalsagdebis kedelze ganviTarebul bzarebze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seismometria axali seismosadguris gamoyenebiT (uwyveti dakvirvebebi avtomatur reJimSi)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klimaturi parametrebze (avtomaturi meteosadguris meSveobiT) da wyalsacavze (radaris tipis donmzomisa da Termometrebis meSveobiT) uwyveti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</w:rPr>
              <w:t xml:space="preserve">wyalgamyavni 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virab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>ის მოსახვის მიღმა დეფორმაციებზე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</w:rPr>
            </w:pPr>
          </w:p>
        </w:tc>
      </w:tr>
      <w:tr w:rsidR="00B901F5" w:rsidTr="00715B1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Sualeduri teqnikuri angariSis Sedgena-gaformeba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kaSxali, siRrmuli wyalmimRebi da wyalsagdebi, uqmi wyalsagdebi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uqmi wyalsagdebi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w</w:t>
            </w: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yalsacavi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gamyvani gvirabi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wwd 790m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01.05.202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-30.06.202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geodinamiuri dakvirvebebis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a-GE"/>
              </w:rPr>
              <w:t>DSM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-isa da klinometrebis Sedegebis damuSaveba kaSxlis Txemis horizontalur da vertikalur gadaadgilebebze wyalsacavis Sevseba-damuSavebis procesSi sxvadasxva niSnulebze (10 cikli)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siRrmuli wyalmimRebis, wyalsagdebis da uqmi wyalsagdebis nagebobebis vertikalur da horizontalur gadaadgilebebze geodinamiuri dakvirve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>ბებიi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(klinometrebis meSveobiT)  Sedegebis damuSaveba wyalsacavis sxvadasaxva niSnulebze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geodeziuri dakvrivebebi - hidronagebobaTa (kaSxali, siRrmuli da zedapiruli wyalsagdebebi, wyalmimRebi) vertikaluri gadaadgilebebis (jdenebis) gansazRvra; kaSxlis da da zedapiruli wyalsagdebis Txemis horizontaluri gadaadgilebis dadgena (1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kaSxlis tanSi filtraciul reJimze axali piezometruli qselis da xarjmzomis meSveobiT (12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kaSxlis fuZeSi qimiuri sufoziis movlenebis gamokvleva wlis ganmavlobaSi (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>4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zedapirul wyalsagdebis kedelze ganviTarebul bzarebze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seismometria axali seismosadguris gamoyenebiT (uwyveti dakvirvebebi avtomatur reJimSi)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klimaturi parametrebze (avtomaturi meteosadguris meSveobiT) da wyalsacavze (radaris tipis donmzomisa da Termometrebis meSveobiT) uwyveti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წყალგამყვანი 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gvirab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>ის მოსახვის მიღმა დეფორმაციებზე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675B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Sualeduri teqnikuri angariSis Sedgena-gaformeba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kaSxali, siRrmuli wyalmimRebi da wyalsagdebi, uqmi wyalsagdebi</w:t>
            </w: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qvanayari kaSxali</w:t>
            </w:r>
          </w:p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uqmi wyalsagdebi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w</w:t>
            </w: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yalsacavi</w:t>
            </w:r>
          </w:p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gamyvani gvirabi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wwd 810m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01.07.202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-31.08.202</w:t>
            </w:r>
            <w:r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გეოდინამიური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dakvirvebebis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a-GE"/>
              </w:rPr>
              <w:t>DSM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-isa da klinometrebis Sedegebis damuSaveba kaSxlis Txemis horizontalur da vertikalur gadaadgilebebze wyalsacavis Sevseba-damuSavebis procesSi sxvadasxva niSnulebze (10 cikli)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siRrmuli wyalmimRebis, wyalsagdebis da uqmi wyalsagdebis nagebobebis vertikalur da horizontalur gadaadgilebebze geodinamiur dakvirvebaTa(klinometrebis meSveobiT)  Sedegebis damuSaveba wyalsacavis sxvadasaxva niSnulebze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geodeziuri dakvrivebebi - hidronagebobaTa (kaSxali, siRrmuli da zedapiruli wyalsagdebebi, wyalmimRebi) vertikaluri gadaadgilebebis (jdenebis) gansazRvra; kaSxlis da da zedapiruli wyalsagdebis Txemis horizontaluri gadaadgilebis dadgena (1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kaSxlis tanSi filtraciul reJimze axali piezometruli qselis da xarjmzomis meSveobiT (12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kaSxlis fuZeSi qimiuri sufoziis movlenebis gamokvleva wlis ganmavlobaSi (4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dakvirvebebi zedapirul wyalsagdebis kedelze ganviTarebul bzarebze (10 cikli)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seismometria axali seismosadguris gamoyenebiT (uwyveti dakvirvebebi avtomatur reJimSi)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klimaturi parametrebze (avtomaturi meteosadguris meSveobiT) da wyalsacavze (radaris tipis donmzomisa da Termometrebis meSveobiT) uwyveti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</w:rPr>
              <w:t xml:space="preserve">Wyalgamyvani 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gvirab</w:t>
            </w:r>
            <w:r>
              <w:rPr>
                <w:rFonts w:ascii="AcadNusx" w:hAnsi="AcadNusx" w:cs="Arial"/>
                <w:noProof/>
                <w:sz w:val="20"/>
                <w:szCs w:val="20"/>
              </w:rPr>
              <w:t>is mosaxvis</w:t>
            </w:r>
            <w:r>
              <w:rPr>
                <w:rFonts w:cs="Arial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cadNusx" w:hAnsi="AcadNusx" w:cs="Arial"/>
                <w:noProof/>
                <w:sz w:val="20"/>
                <w:szCs w:val="20"/>
              </w:rPr>
              <w:t>miRma deformaciebze</w:t>
            </w: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dakvirvebebi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</w:rPr>
            </w:pPr>
          </w:p>
        </w:tc>
      </w:tr>
      <w:tr w:rsidR="00B901F5" w:rsidTr="00ED796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Sualeduri teqnikuri angariSis Sedgena-gaformeba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B901F5">
        <w:trPr>
          <w:trHeight w:val="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01.12.20</w:t>
            </w:r>
            <w:r>
              <w:rPr>
                <w:rFonts w:ascii="AcadNusx" w:hAnsi="AcadNusx"/>
                <w:noProof/>
                <w:sz w:val="20"/>
                <w:szCs w:val="20"/>
              </w:rPr>
              <w:t>23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-31.12.20</w:t>
            </w:r>
            <w:r>
              <w:rPr>
                <w:rFonts w:ascii="AcadNusx" w:hAnsi="AcadNusx"/>
                <w:noProof/>
                <w:sz w:val="20"/>
                <w:szCs w:val="20"/>
              </w:rPr>
              <w:t>23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monitoringis masalebis klasifikacia, analizi. Sedegebis ganzogadoeba, saboloo wliuri angariSis Sedgena-gaformeba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B901F5">
        <w:trPr>
          <w:trHeight w:val="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F5" w:rsidRDefault="00B901F5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01.01.2023-</w:t>
            </w:r>
          </w:p>
          <w:p w:rsidR="00B901F5" w:rsidRDefault="00B901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31.12.2023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მონიტორინგისა და ადრეული გაფრთხილების ინსტრუმენტული სისტემების პერიოდული ტექნიკური ინსპექტირება, შესაძლო ხარვეზების დადგენა და აღმოფხვრის დეტალური გეგმის შემუშავება.</w:t>
            </w:r>
          </w:p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შესაცვლელი კომპონენტების კომერციული წინადადების მიწოდება დამკვეთისთვის.</w:t>
            </w:r>
          </w:p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შესყიდული კომპონენტების ინსტალაცია და სისტემების გაშვება.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</w:tr>
      <w:tr w:rsidR="00B901F5" w:rsidTr="00393D63">
        <w:trPr>
          <w:trHeight w:val="494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Pr="00B901F5" w:rsidRDefault="00B901F5" w:rsidP="00B901F5">
            <w:pPr>
              <w:spacing w:after="0" w:line="240" w:lineRule="auto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B901F5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სულ ღირებულება, ლარი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Default="00B901F5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</w:tr>
    </w:tbl>
    <w:p w:rsidR="00833A26" w:rsidRDefault="00833A26" w:rsidP="00833A26">
      <w:pPr>
        <w:rPr>
          <w:noProof/>
          <w:sz w:val="12"/>
          <w:szCs w:val="12"/>
          <w:lang w:val="ka-GE"/>
        </w:rPr>
      </w:pPr>
      <w:bookmarkStart w:id="0" w:name="_GoBack"/>
      <w:bookmarkEnd w:id="0"/>
    </w:p>
    <w:sectPr w:rsidR="00833A26" w:rsidSect="00B901F5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3"/>
    <w:rsid w:val="002511D8"/>
    <w:rsid w:val="002A5C93"/>
    <w:rsid w:val="00393D63"/>
    <w:rsid w:val="00833A26"/>
    <w:rsid w:val="00B901F5"/>
    <w:rsid w:val="00BF551D"/>
    <w:rsid w:val="00E65F02"/>
    <w:rsid w:val="00E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F8DF"/>
  <w15:chartTrackingRefBased/>
  <w15:docId w15:val="{D84C5C73-9FC1-4500-9BC4-1878414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Kvachantiradze</dc:creator>
  <cp:keywords/>
  <dc:description/>
  <cp:lastModifiedBy>Mariam Silagadze</cp:lastModifiedBy>
  <cp:revision>7</cp:revision>
  <dcterms:created xsi:type="dcterms:W3CDTF">2023-01-23T06:34:00Z</dcterms:created>
  <dcterms:modified xsi:type="dcterms:W3CDTF">2023-02-10T04:47:00Z</dcterms:modified>
</cp:coreProperties>
</file>